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85EBD8" w14:textId="13B82320" w:rsidR="006746EF" w:rsidRDefault="00B650B3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PYKE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fl.1415)</w:t>
      </w:r>
    </w:p>
    <w:p w14:paraId="1A283175" w14:textId="59572795" w:rsidR="00B650B3" w:rsidRDefault="00B650B3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Late Prior of the Holy Trinity.</w:t>
      </w:r>
    </w:p>
    <w:p w14:paraId="7F966507" w14:textId="47AEBEF2" w:rsidR="00B650B3" w:rsidRDefault="00B650B3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5E01811" w14:textId="510808F6" w:rsidR="00B650B3" w:rsidRDefault="00B650B3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C4C9577" w14:textId="0566FFB2" w:rsidR="00B650B3" w:rsidRDefault="00B650B3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Sep.1415</w:t>
      </w:r>
      <w:r>
        <w:rPr>
          <w:rFonts w:ascii="Times New Roman" w:hAnsi="Times New Roman" w:cs="Times New Roman"/>
          <w:sz w:val="24"/>
          <w:szCs w:val="24"/>
        </w:rPr>
        <w:tab/>
        <w:t xml:space="preserve">He granted his manor of </w:t>
      </w:r>
      <w:proofErr w:type="spellStart"/>
      <w:r>
        <w:rPr>
          <w:rFonts w:ascii="Times New Roman" w:hAnsi="Times New Roman" w:cs="Times New Roman"/>
          <w:sz w:val="24"/>
          <w:szCs w:val="24"/>
        </w:rPr>
        <w:t>Minyots</w:t>
      </w:r>
      <w:proofErr w:type="spellEnd"/>
      <w:r>
        <w:rPr>
          <w:rFonts w:ascii="Times New Roman" w:hAnsi="Times New Roman" w:cs="Times New Roman"/>
          <w:sz w:val="24"/>
          <w:szCs w:val="24"/>
        </w:rPr>
        <w:t>, Seething, Norfolk, to John Crane(q.v.)</w:t>
      </w:r>
    </w:p>
    <w:p w14:paraId="5B6C0F0D" w14:textId="2B4CDAA0" w:rsidR="00B650B3" w:rsidRDefault="00B650B3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and Roger </w:t>
      </w:r>
      <w:proofErr w:type="spellStart"/>
      <w:r>
        <w:rPr>
          <w:rFonts w:ascii="Times New Roman" w:hAnsi="Times New Roman" w:cs="Times New Roman"/>
          <w:sz w:val="24"/>
          <w:szCs w:val="24"/>
        </w:rPr>
        <w:t>Cotternower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3E6BEBBD" w14:textId="300919BC" w:rsidR="00B650B3" w:rsidRDefault="00B650B3" w:rsidP="00B650B3">
      <w:pPr>
        <w:pStyle w:val="NoSpacing"/>
        <w:ind w:left="144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Francis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Blomefield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, 'Loddon Hundred: Seething, or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Senges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', in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An Essay Towards A Topographical History of the County of Norfolk: Volume 10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(London, 1809), pp. 172-177.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British History Online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http://www.british-history.ac.uk/topographical-hist-norfolk/vol10/pp172-177 [accessed 20 April 2020].</w:t>
      </w:r>
      <w:r w:rsidR="00FC62C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)</w:t>
      </w:r>
    </w:p>
    <w:p w14:paraId="682D2134" w14:textId="265FB4EA" w:rsidR="00FC62CF" w:rsidRDefault="00FC62CF" w:rsidP="00FC62CF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40AC3380" w14:textId="29407BB6" w:rsidR="00FC62CF" w:rsidRDefault="00FC62CF" w:rsidP="00FC62CF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29D6B02A" w14:textId="4E45D2A8" w:rsidR="00FC62CF" w:rsidRPr="00B650B3" w:rsidRDefault="00FC62CF" w:rsidP="00FC62C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20 April 2020</w:t>
      </w:r>
    </w:p>
    <w:sectPr w:rsidR="00FC62CF" w:rsidRPr="00B650B3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4FF375" w14:textId="77777777" w:rsidR="00B650B3" w:rsidRDefault="00B650B3" w:rsidP="00CD0211">
      <w:pPr>
        <w:spacing w:after="0" w:line="240" w:lineRule="auto"/>
      </w:pPr>
      <w:r>
        <w:separator/>
      </w:r>
    </w:p>
  </w:endnote>
  <w:endnote w:type="continuationSeparator" w:id="0">
    <w:p w14:paraId="146914CC" w14:textId="77777777" w:rsidR="00B650B3" w:rsidRDefault="00B650B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4F864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B582DB" w14:textId="77777777" w:rsidR="00B650B3" w:rsidRDefault="00B650B3" w:rsidP="00CD0211">
      <w:pPr>
        <w:spacing w:after="0" w:line="240" w:lineRule="auto"/>
      </w:pPr>
      <w:r>
        <w:separator/>
      </w:r>
    </w:p>
  </w:footnote>
  <w:footnote w:type="continuationSeparator" w:id="0">
    <w:p w14:paraId="37F7C0C0" w14:textId="77777777" w:rsidR="00B650B3" w:rsidRDefault="00B650B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650B3"/>
    <w:rsid w:val="00CD0211"/>
    <w:rsid w:val="00FC6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D0DAE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Emphasis">
    <w:name w:val="Emphasis"/>
    <w:basedOn w:val="DefaultParagraphFont"/>
    <w:uiPriority w:val="20"/>
    <w:qFormat/>
    <w:rsid w:val="00B650B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72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2020-04-20T09:06:00Z</dcterms:created>
  <dcterms:modified xsi:type="dcterms:W3CDTF">2020-04-20T09:13:00Z</dcterms:modified>
</cp:coreProperties>
</file>